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6"/>
          <w:szCs w:val="36"/>
          <w:lang w:eastAsia="zh-CN"/>
        </w:rPr>
      </w:pPr>
    </w:p>
    <w:p>
      <w:pPr>
        <w:jc w:val="both"/>
        <w:rPr>
          <w:rFonts w:hint="eastAsia"/>
          <w:sz w:val="36"/>
          <w:szCs w:val="36"/>
          <w:lang w:eastAsia="zh-CN"/>
        </w:rPr>
      </w:pPr>
    </w:p>
    <w:p>
      <w:pPr>
        <w:jc w:val="both"/>
        <w:rPr>
          <w:rFonts w:hint="eastAsia"/>
          <w:sz w:val="36"/>
          <w:szCs w:val="36"/>
          <w:lang w:eastAsia="zh-CN"/>
        </w:rPr>
      </w:pPr>
    </w:p>
    <w:p>
      <w:pPr>
        <w:jc w:val="both"/>
        <w:rPr>
          <w:rFonts w:hint="eastAsia"/>
          <w:sz w:val="36"/>
          <w:szCs w:val="36"/>
          <w:lang w:eastAsia="zh-CN"/>
        </w:rPr>
      </w:pPr>
    </w:p>
    <w:p>
      <w:pPr>
        <w:jc w:val="center"/>
        <w:rPr>
          <w:rFonts w:hint="eastAsia" w:ascii="黑体" w:hAnsi="黑体" w:eastAsia="黑体" w:cs="黑体"/>
          <w:b/>
          <w:bCs/>
          <w:sz w:val="44"/>
          <w:szCs w:val="44"/>
          <w:lang w:eastAsia="zh-CN"/>
        </w:rPr>
      </w:pP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农村水电站安全生产标准化评审管理系统</w:t>
      </w:r>
    </w:p>
    <w:p>
      <w:pPr>
        <w:jc w:val="center"/>
        <w:rPr>
          <w:rFonts w:hint="eastAsia"/>
          <w:b/>
          <w:bCs/>
          <w:sz w:val="36"/>
          <w:szCs w:val="36"/>
          <w:lang w:eastAsia="zh-CN"/>
        </w:rPr>
      </w:pPr>
    </w:p>
    <w:p>
      <w:pPr>
        <w:jc w:val="center"/>
        <w:rPr>
          <w:rFonts w:hint="eastAsia"/>
          <w:b/>
          <w:bCs/>
          <w:sz w:val="36"/>
          <w:szCs w:val="36"/>
          <w:lang w:eastAsia="zh-CN"/>
        </w:rPr>
      </w:pPr>
    </w:p>
    <w:p>
      <w:pPr>
        <w:jc w:val="center"/>
        <w:rPr>
          <w:rFonts w:hint="eastAsia"/>
          <w:b/>
          <w:bCs/>
          <w:sz w:val="36"/>
          <w:szCs w:val="36"/>
          <w:lang w:eastAsia="zh-CN"/>
        </w:rPr>
      </w:pPr>
    </w:p>
    <w:p>
      <w:pPr>
        <w:jc w:val="center"/>
        <w:rPr>
          <w:rFonts w:hint="eastAsia"/>
          <w:b/>
          <w:bCs/>
          <w:sz w:val="36"/>
          <w:szCs w:val="36"/>
          <w:lang w:eastAsia="zh-CN"/>
        </w:rPr>
      </w:pPr>
    </w:p>
    <w:p>
      <w:pPr>
        <w:jc w:val="center"/>
        <w:rPr>
          <w:rFonts w:hint="eastAsia" w:ascii="黑体" w:hAnsi="黑体" w:eastAsia="黑体" w:cs="黑体"/>
          <w:b/>
          <w:bCs/>
          <w:sz w:val="52"/>
          <w:szCs w:val="52"/>
          <w:lang w:eastAsia="zh-CN"/>
        </w:rPr>
      </w:pPr>
      <w:r>
        <w:rPr>
          <w:rFonts w:hint="eastAsia" w:ascii="黑体" w:hAnsi="黑体" w:eastAsia="黑体" w:cs="黑体"/>
          <w:b/>
          <w:bCs/>
          <w:sz w:val="52"/>
          <w:szCs w:val="52"/>
          <w:lang w:eastAsia="zh-CN"/>
        </w:rPr>
        <w:t>专家用户操作说明</w:t>
      </w:r>
    </w:p>
    <w:p>
      <w:pPr>
        <w:jc w:val="center"/>
        <w:rPr>
          <w:rFonts w:hint="eastAsia"/>
          <w:sz w:val="28"/>
          <w:szCs w:val="28"/>
          <w:lang w:eastAsia="zh-CN"/>
        </w:rPr>
      </w:pPr>
    </w:p>
    <w:p>
      <w:pPr>
        <w:jc w:val="center"/>
        <w:rPr>
          <w:rFonts w:hint="eastAsia"/>
          <w:sz w:val="28"/>
          <w:szCs w:val="28"/>
          <w:lang w:eastAsia="zh-CN"/>
        </w:rPr>
      </w:pPr>
    </w:p>
    <w:p>
      <w:pPr>
        <w:jc w:val="center"/>
        <w:rPr>
          <w:rFonts w:hint="eastAsia"/>
          <w:sz w:val="28"/>
          <w:szCs w:val="28"/>
          <w:lang w:eastAsia="zh-CN"/>
        </w:rPr>
      </w:pPr>
    </w:p>
    <w:p>
      <w:pPr>
        <w:jc w:val="both"/>
        <w:rPr>
          <w:rFonts w:hint="eastAsia"/>
          <w:sz w:val="28"/>
          <w:szCs w:val="28"/>
          <w:lang w:eastAsia="zh-CN"/>
        </w:rPr>
      </w:pPr>
    </w:p>
    <w:p>
      <w:pPr>
        <w:jc w:val="both"/>
        <w:rPr>
          <w:rFonts w:hint="eastAsia"/>
          <w:sz w:val="28"/>
          <w:szCs w:val="28"/>
          <w:lang w:eastAsia="zh-CN"/>
        </w:rPr>
      </w:pPr>
    </w:p>
    <w:p>
      <w:pPr>
        <w:jc w:val="both"/>
        <w:rPr>
          <w:rFonts w:hint="eastAsia"/>
          <w:sz w:val="28"/>
          <w:szCs w:val="28"/>
          <w:lang w:eastAsia="zh-CN"/>
        </w:rPr>
      </w:pPr>
    </w:p>
    <w:p>
      <w:pPr>
        <w:jc w:val="center"/>
        <w:rPr>
          <w:rFonts w:hint="eastAsia"/>
          <w:sz w:val="28"/>
          <w:szCs w:val="28"/>
          <w:lang w:eastAsia="zh-CN"/>
        </w:rPr>
      </w:pPr>
    </w:p>
    <w:p>
      <w:pPr>
        <w:jc w:val="center"/>
        <w:rPr>
          <w:rFonts w:hint="eastAsia" w:ascii="黑体" w:hAnsi="黑体" w:eastAsia="黑体" w:cs="黑体"/>
          <w:b/>
          <w:bCs/>
          <w:sz w:val="44"/>
          <w:szCs w:val="44"/>
          <w:lang w:eastAsia="zh-CN"/>
        </w:rPr>
      </w:pPr>
      <w:r>
        <w:rPr>
          <w:rFonts w:hint="eastAsia" w:ascii="黑体" w:hAnsi="黑体" w:eastAsia="黑体" w:cs="黑体"/>
          <w:b/>
          <w:bCs/>
          <w:sz w:val="44"/>
          <w:szCs w:val="44"/>
          <w:lang w:eastAsia="zh-CN"/>
        </w:rPr>
        <w:t>杭州国望科技有限公司</w:t>
      </w:r>
    </w:p>
    <w:p>
      <w:pPr>
        <w:jc w:val="center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2020年01月</w:t>
      </w:r>
    </w:p>
    <w:p>
      <w:pPr>
        <w:pStyle w:val="2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用户登录</w:t>
      </w:r>
    </w:p>
    <w:p>
      <w:pPr>
        <w:numPr>
          <w:ilvl w:val="1"/>
          <w:numId w:val="1"/>
        </w:numPr>
        <w:ind w:left="0" w:leftChars="0" w:firstLine="0" w:firstLineChars="0"/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网址 </w:t>
      </w:r>
      <w:r>
        <w:rPr>
          <w:rFonts w:hint="eastAsia"/>
          <w:sz w:val="28"/>
          <w:szCs w:val="28"/>
          <w:lang w:val="en-US" w:eastAsia="zh-CN"/>
        </w:rPr>
        <w:fldChar w:fldCharType="begin"/>
      </w:r>
      <w:r>
        <w:rPr>
          <w:rFonts w:hint="eastAsia"/>
          <w:sz w:val="28"/>
          <w:szCs w:val="28"/>
          <w:lang w:val="en-US" w:eastAsia="zh-CN"/>
        </w:rPr>
        <w:instrText xml:space="preserve"> HYPERLINK "http://ncsdab.com:8889/SPS/" </w:instrText>
      </w:r>
      <w:r>
        <w:rPr>
          <w:rFonts w:hint="eastAsia"/>
          <w:sz w:val="28"/>
          <w:szCs w:val="28"/>
          <w:lang w:val="en-US" w:eastAsia="zh-CN"/>
        </w:rPr>
        <w:fldChar w:fldCharType="separate"/>
      </w:r>
      <w:r>
        <w:rPr>
          <w:rFonts w:hint="eastAsia"/>
          <w:sz w:val="28"/>
          <w:szCs w:val="28"/>
          <w:lang w:val="en-US" w:eastAsia="zh-CN"/>
        </w:rPr>
        <w:t>http://www.ncsdab.cn</w:t>
      </w:r>
      <w:r>
        <w:rPr>
          <w:rFonts w:hint="eastAsia"/>
          <w:sz w:val="28"/>
          <w:szCs w:val="28"/>
          <w:lang w:val="en-US" w:eastAsia="zh-CN"/>
        </w:rPr>
        <w:fldChar w:fldCharType="end"/>
      </w:r>
      <w:r>
        <w:rPr>
          <w:rFonts w:hint="eastAsia"/>
          <w:sz w:val="28"/>
          <w:szCs w:val="28"/>
          <w:lang w:val="en-US" w:eastAsia="zh-CN"/>
        </w:rPr>
        <w:t xml:space="preserve"> </w:t>
      </w:r>
    </w:p>
    <w:p>
      <w:pPr>
        <w:numPr>
          <w:ilvl w:val="1"/>
          <w:numId w:val="1"/>
        </w:numPr>
        <w:ind w:left="0" w:leftChars="0" w:firstLine="0" w:firstLineChars="0"/>
        <w:jc w:val="left"/>
        <w:rPr>
          <w:rFonts w:hint="default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点击右上方“评审用户登录”按钮，如下图：</w:t>
      </w:r>
      <w:r>
        <w:drawing>
          <wp:inline distT="0" distB="0" distL="114300" distR="114300">
            <wp:extent cx="5271135" cy="2540635"/>
            <wp:effectExtent l="0" t="0" r="5715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"/>
        </w:numPr>
        <w:ind w:left="0" w:leftChars="0" w:firstLine="0" w:firstLineChars="0"/>
        <w:jc w:val="left"/>
        <w:rPr>
          <w:rFonts w:hint="default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手机号即为登录帐号，正确输入验证码，点击“登录”按钮即可。如下图：（默认密码为“123456”，请登录后，尽快修改密码）</w:t>
      </w:r>
      <w:r>
        <w:drawing>
          <wp:inline distT="0" distB="0" distL="114300" distR="114300">
            <wp:extent cx="5269865" cy="2599055"/>
            <wp:effectExtent l="0" t="0" r="6985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default"/>
          <w:color w:val="auto"/>
          <w:sz w:val="28"/>
          <w:szCs w:val="28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评审资料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jc w:val="left"/>
        <w:textAlignment w:val="auto"/>
        <w:rPr>
          <w:rFonts w:hint="eastAsia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专家用户登录成功后，主要有四个模块：“专家省级评审”、“专家部级评审”、“修改密码”、“退出”。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jc w:val="left"/>
        <w:textAlignment w:val="auto"/>
        <w:rPr>
          <w:rFonts w:hint="eastAsia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“专家省级评审”：电站申报材料提交后，由省级部门将其材料分配给专家进行评审。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jc w:val="left"/>
        <w:textAlignment w:val="auto"/>
        <w:rPr>
          <w:rFonts w:hint="eastAsia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“专家部级评审”：省级部门将电站申报材料及省级意见提交并推荐给部级后，由部级部门将其材料分配给专家进行评审。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2.1专家省级评审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jc w:val="left"/>
        <w:textAlignment w:val="auto"/>
        <w:rPr>
          <w:rFonts w:hint="default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进入“专家省级评审”模块页面，页面如下图所示：列表中显示的是需要当前用户需要进行省级评审的电站。</w:t>
      </w:r>
      <w:r>
        <w:rPr>
          <w:rFonts w:hint="default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5202555" cy="2538095"/>
            <wp:effectExtent l="0" t="0" r="17145" b="14605"/>
            <wp:docPr id="5" name="图片 5" descr="2020-01-03_155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0-01-03_15561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2555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  <w:jc w:val="left"/>
      </w:pPr>
      <w:r>
        <w:rPr>
          <w:rFonts w:hint="eastAsia"/>
          <w:color w:val="auto"/>
          <w:sz w:val="28"/>
          <w:szCs w:val="28"/>
          <w:lang w:val="en-US" w:eastAsia="zh-CN"/>
        </w:rPr>
        <w:t>点击“</w:t>
      </w:r>
      <w:r>
        <w:rPr>
          <w:rFonts w:hint="eastAsia"/>
          <w:b/>
          <w:bCs/>
          <w:color w:val="auto"/>
          <w:sz w:val="28"/>
          <w:szCs w:val="28"/>
          <w:lang w:val="en-US" w:eastAsia="zh-CN"/>
        </w:rPr>
        <w:t>电站名称</w:t>
      </w:r>
      <w:r>
        <w:rPr>
          <w:rFonts w:hint="eastAsia"/>
          <w:color w:val="auto"/>
          <w:sz w:val="28"/>
          <w:szCs w:val="28"/>
          <w:lang w:val="en-US" w:eastAsia="zh-CN"/>
        </w:rPr>
        <w:t>”，跳转电站申报详情页面，如下图所示。</w:t>
      </w:r>
    </w:p>
    <w:p>
      <w:pPr>
        <w:numPr>
          <w:ilvl w:val="0"/>
          <w:numId w:val="0"/>
        </w:numPr>
        <w:ind w:left="420" w:leftChars="0"/>
        <w:jc w:val="left"/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30480</wp:posOffset>
            </wp:positionV>
            <wp:extent cx="5194300" cy="2511425"/>
            <wp:effectExtent l="0" t="0" r="6350" b="3175"/>
            <wp:wrapTopAndBottom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94300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基本情况主要描述了电站概况及电站安全生产管理状况，专家用户可对电站的资料给予评审意见，在省级评分中根据电站的自评打分及资料情况进行打分。评审完毕后，需要上传专家意见，对于需要退回的电站可以在问题情况中补充退回的解释补充说明。最后，返回到列表页面，点击评审完成即可通知省级用户，进行（向部推荐或是退回电站）操作。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2.2专家部级评审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jc w:val="left"/>
        <w:textAlignment w:val="auto"/>
        <w:rPr>
          <w:rFonts w:hint="eastAsia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进入“专家部级评审”模块页面，页面如下图所示：列表中显示的是需要当前用户需要进行部级评审的电站。</w:t>
      </w:r>
    </w:p>
    <w:p>
      <w:pPr>
        <w:numPr>
          <w:ilvl w:val="0"/>
          <w:numId w:val="0"/>
        </w:numPr>
        <w:ind w:left="420" w:leftChars="0"/>
        <w:jc w:val="left"/>
        <w:rPr>
          <w:rFonts w:hint="default"/>
          <w:color w:val="auto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7325" cy="1605915"/>
            <wp:effectExtent l="0" t="0" r="9525" b="1333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jc w:val="left"/>
        <w:textAlignment w:val="auto"/>
      </w:pPr>
      <w:r>
        <w:rPr>
          <w:rFonts w:hint="eastAsia"/>
          <w:color w:val="auto"/>
          <w:sz w:val="28"/>
          <w:szCs w:val="28"/>
          <w:lang w:val="en-US" w:eastAsia="zh-CN"/>
        </w:rPr>
        <w:t>点击“</w:t>
      </w:r>
      <w:r>
        <w:rPr>
          <w:rFonts w:hint="eastAsia"/>
          <w:b/>
          <w:bCs/>
          <w:color w:val="auto"/>
          <w:sz w:val="28"/>
          <w:szCs w:val="28"/>
          <w:lang w:val="en-US" w:eastAsia="zh-CN"/>
        </w:rPr>
        <w:t>电站名称</w:t>
      </w:r>
      <w:r>
        <w:rPr>
          <w:rFonts w:hint="eastAsia"/>
          <w:color w:val="auto"/>
          <w:sz w:val="28"/>
          <w:szCs w:val="28"/>
          <w:lang w:val="en-US" w:eastAsia="zh-CN"/>
        </w:rPr>
        <w:t>”，跳转电站申报详情页面，如下图所示。</w:t>
      </w:r>
    </w:p>
    <w:p>
      <w:pPr>
        <w:numPr>
          <w:ilvl w:val="0"/>
          <w:numId w:val="0"/>
        </w:numPr>
        <w:ind w:left="420" w:leftChars="0"/>
        <w:jc w:val="left"/>
      </w:pPr>
      <w:r>
        <w:drawing>
          <wp:inline distT="0" distB="0" distL="114300" distR="114300">
            <wp:extent cx="5271135" cy="1954530"/>
            <wp:effectExtent l="0" t="0" r="5715" b="762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电站申报详情页面包括了电站申报材料以及省级的评审意见。基本情况主要描述了电站概况及电站安全生产管理状况，专家用户可对电站的资料给予审核意见，在部级评分中根据电站的自评打分、省级评分及资料情况进行打分。审核完毕后，需要上传专家意见，对于需要退回的电站可以在问题情况中补充退回的解释补充说明。最后，返回到列表页面，点击评审完成即可通知部级用户，进行（评审通过或是退回电站）操作。</w:t>
      </w:r>
    </w:p>
    <w:p>
      <w:pPr>
        <w:numPr>
          <w:ilvl w:val="0"/>
          <w:numId w:val="0"/>
        </w:numPr>
        <w:ind w:firstLine="280" w:firstLineChars="100"/>
        <w:jc w:val="left"/>
        <w:rPr>
          <w:rFonts w:hint="eastAsia"/>
          <w:color w:val="auto"/>
          <w:sz w:val="28"/>
          <w:szCs w:val="28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修改密码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点击“修改密码”按钮，如下图所示，弹出修改密码框，填写确认即可。</w:t>
      </w:r>
    </w:p>
    <w:p>
      <w:pPr>
        <w:numPr>
          <w:ilvl w:val="0"/>
          <w:numId w:val="0"/>
        </w:numPr>
        <w:ind w:firstLine="280" w:firstLineChars="100"/>
        <w:jc w:val="left"/>
        <w:rPr>
          <w:rFonts w:hint="eastAsia"/>
          <w:color w:val="auto"/>
          <w:sz w:val="28"/>
          <w:szCs w:val="28"/>
          <w:lang w:val="en-US" w:eastAsia="zh-CN"/>
        </w:rPr>
      </w:pPr>
      <w:r>
        <w:rPr>
          <w:sz w:val="28"/>
          <w:szCs w:val="28"/>
        </w:rPr>
        <w:drawing>
          <wp:inline distT="0" distB="0" distL="114300" distR="114300">
            <wp:extent cx="5267325" cy="2180590"/>
            <wp:effectExtent l="0" t="0" r="9525" b="1016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  <w:jc w:val="left"/>
        <w:rPr>
          <w:rFonts w:hint="eastAsia"/>
          <w:color w:val="auto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A48CFE9"/>
    <w:multiLevelType w:val="multilevel"/>
    <w:tmpl w:val="9A48CFE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rPr>
        <w:rFonts w:hint="eastAsia"/>
      </w:rPr>
    </w:lvl>
    <w:lvl w:ilvl="3" w:tentative="0">
      <w:start w:val="1"/>
      <w:numFmt w:val="decimalEnclosedCircleChinese"/>
      <w:suff w:val="nothing"/>
      <w:lvlText w:val="%4"/>
      <w:lvlJc w:val="left"/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rPr>
        <w:rFonts w:hint="eastAsia"/>
      </w:rPr>
    </w:lvl>
    <w:lvl w:ilvl="7" w:tentative="0">
      <w:start w:val="1"/>
      <w:numFmt w:val="lowerRoman"/>
      <w:suff w:val="nothing"/>
      <w:lvlText w:val="%8．"/>
      <w:lvlJc w:val="left"/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5DF393B"/>
    <w:rsid w:val="00F10C43"/>
    <w:rsid w:val="05DF393B"/>
    <w:rsid w:val="0E922DD8"/>
    <w:rsid w:val="14335BBB"/>
    <w:rsid w:val="15342BBC"/>
    <w:rsid w:val="1B9175E6"/>
    <w:rsid w:val="1BEA43E1"/>
    <w:rsid w:val="21244162"/>
    <w:rsid w:val="21EE3EF5"/>
    <w:rsid w:val="25F40CC8"/>
    <w:rsid w:val="2D654F04"/>
    <w:rsid w:val="301545E0"/>
    <w:rsid w:val="33640338"/>
    <w:rsid w:val="351316BD"/>
    <w:rsid w:val="36F53375"/>
    <w:rsid w:val="37F47233"/>
    <w:rsid w:val="3973519B"/>
    <w:rsid w:val="59C00E76"/>
    <w:rsid w:val="5BC20764"/>
    <w:rsid w:val="5E8E03EE"/>
    <w:rsid w:val="62573574"/>
    <w:rsid w:val="628C4078"/>
    <w:rsid w:val="62B82FA0"/>
    <w:rsid w:val="63273BE6"/>
    <w:rsid w:val="63C412EC"/>
    <w:rsid w:val="64A908DC"/>
    <w:rsid w:val="69D01F2D"/>
    <w:rsid w:val="6B317B9E"/>
    <w:rsid w:val="6EAA3A48"/>
    <w:rsid w:val="7566585E"/>
    <w:rsid w:val="79F97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qFormat/>
    <w:uiPriority w:val="0"/>
    <w:pPr>
      <w:jc w:val="left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</TotalTime>
  <ScaleCrop>false</ScaleCrop>
  <LinksUpToDate>false</LinksUpToDate>
  <CharactersWithSpaces>0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2020-01-03T06:37:00Z</dcterms:created>
  <dc:creator>Administrator</dc:creator>
  <cp:lastModifiedBy>Administrator</cp:lastModifiedBy>
  <dcterms:modified xsi:type="dcterms:W3CDTF">2020-01-06T10:22:02Z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