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13" w:lineRule="auto"/>
        <w:jc w:val="both"/>
        <w:textAlignment w:val="auto"/>
        <w:outlineLvl w:val="9"/>
        <w:rPr>
          <w:rFonts w:hint="eastAsia"/>
          <w:sz w:val="28"/>
          <w:szCs w:val="28"/>
          <w:lang w:eastAsia="zh-CN"/>
        </w:rPr>
      </w:pPr>
    </w:p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13" w:lineRule="auto"/>
        <w:jc w:val="center"/>
        <w:textAlignment w:val="auto"/>
        <w:outlineLvl w:val="9"/>
        <w:rPr>
          <w:rFonts w:hint="eastAsia" w:ascii="黑体" w:hAnsi="黑体" w:eastAsia="黑体" w:cs="黑体"/>
          <w:b/>
          <w:bCs/>
          <w:sz w:val="44"/>
          <w:szCs w:val="44"/>
          <w:lang w:eastAsia="zh-CN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lang w:eastAsia="zh-CN"/>
        </w:rPr>
        <w:t>农村水电站安全生产标准化评审管理系统</w:t>
      </w:r>
    </w:p>
    <w:p>
      <w:pPr>
        <w:rPr>
          <w:rFonts w:hint="eastAsia"/>
          <w:sz w:val="28"/>
          <w:szCs w:val="28"/>
          <w:lang w:eastAsia="zh-CN"/>
        </w:rPr>
      </w:pPr>
    </w:p>
    <w:p>
      <w:pPr>
        <w:spacing w:line="600" w:lineRule="auto"/>
        <w:jc w:val="center"/>
        <w:rPr>
          <w:rFonts w:hint="eastAsia" w:ascii="黑体" w:hAnsi="黑体" w:eastAsia="黑体" w:cs="黑体"/>
          <w:b/>
          <w:bCs/>
          <w:sz w:val="52"/>
          <w:szCs w:val="52"/>
          <w:lang w:eastAsia="zh-CN"/>
        </w:rPr>
      </w:pPr>
      <w:r>
        <w:rPr>
          <w:rFonts w:hint="eastAsia" w:ascii="黑体" w:hAnsi="黑体" w:eastAsia="黑体" w:cs="黑体"/>
          <w:b/>
          <w:bCs/>
          <w:sz w:val="52"/>
          <w:szCs w:val="52"/>
          <w:lang w:eastAsia="zh-CN"/>
        </w:rPr>
        <w:t>电站用户操作说明</w:t>
      </w:r>
    </w:p>
    <w:p>
      <w:pPr>
        <w:spacing w:line="600" w:lineRule="auto"/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spacing w:line="600" w:lineRule="auto"/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spacing w:line="600" w:lineRule="auto"/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spacing w:line="600" w:lineRule="auto"/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spacing w:line="600" w:lineRule="auto"/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spacing w:line="600" w:lineRule="auto"/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spacing w:line="600" w:lineRule="auto"/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spacing w:line="600" w:lineRule="auto"/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spacing w:line="600" w:lineRule="auto"/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spacing w:line="600" w:lineRule="auto"/>
        <w:jc w:val="both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spacing w:line="600" w:lineRule="auto"/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spacing w:line="600" w:lineRule="auto"/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spacing w:line="600" w:lineRule="auto"/>
        <w:jc w:val="center"/>
        <w:rPr>
          <w:rFonts w:hint="default" w:ascii="黑体" w:hAnsi="黑体" w:eastAsia="黑体" w:cs="黑体"/>
          <w:b/>
          <w:bCs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杭州国望科技有限公司</w:t>
      </w:r>
    </w:p>
    <w:p>
      <w:pPr>
        <w:spacing w:line="600" w:lineRule="auto"/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2021年01月</w:t>
      </w:r>
    </w:p>
    <w:p>
      <w:pPr>
        <w:pStyle w:val="2"/>
        <w:bidi w:val="0"/>
        <w:outlineLvl w:val="9"/>
        <w:rPr>
          <w:rFonts w:hint="eastAsia" w:ascii="宋体" w:hAnsi="宋体" w:eastAsia="宋体" w:cs="宋体"/>
          <w:sz w:val="28"/>
          <w:szCs w:val="28"/>
          <w:lang w:eastAsia="zh-CN"/>
        </w:rPr>
      </w:pPr>
    </w:p>
    <w:sdt>
      <w:sdtP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id w:val="147457643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t>目录</w:t>
          </w:r>
        </w:p>
        <w:p>
          <w:pPr>
            <w:pStyle w:val="6"/>
            <w:tabs>
              <w:tab w:val="right" w:leader="dot" w:pos="8306"/>
            </w:tabs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  <w:lang w:eastAsia="zh-CN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  <w:lang w:eastAsia="zh-CN"/>
            </w:rPr>
            <w:instrText xml:space="preserve">TOC \o "1-1" \h \u </w:instrText>
          </w:r>
          <w:r>
            <w:rPr>
              <w:rFonts w:hint="eastAsia" w:ascii="宋体" w:hAnsi="宋体" w:eastAsia="宋体" w:cs="宋体"/>
              <w:sz w:val="28"/>
              <w:szCs w:val="28"/>
              <w:lang w:eastAsia="zh-CN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  <w:lang w:eastAsia="zh-CN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  <w:lang w:eastAsia="zh-CN"/>
            </w:rPr>
            <w:instrText xml:space="preserve"> HYPERLINK \l _Toc21129 </w:instrText>
          </w:r>
          <w:r>
            <w:rPr>
              <w:rFonts w:hint="eastAsia" w:ascii="宋体" w:hAnsi="宋体" w:eastAsia="宋体" w:cs="宋体"/>
              <w:sz w:val="28"/>
              <w:szCs w:val="28"/>
              <w:lang w:eastAsia="zh-CN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  <w:lang w:eastAsia="zh-CN"/>
            </w:rPr>
            <w:t>一、 注册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bookmarkStart w:id="4" w:name="_GoBack"/>
          <w:bookmarkEnd w:id="4"/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_Toc21129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3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  <w:lang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  <w:lang w:eastAsia="zh-CN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  <w:lang w:eastAsia="zh-CN"/>
            </w:rPr>
            <w:instrText xml:space="preserve"> HYPERLINK \l _Toc20308 </w:instrText>
          </w:r>
          <w:r>
            <w:rPr>
              <w:rFonts w:hint="eastAsia" w:ascii="宋体" w:hAnsi="宋体" w:eastAsia="宋体" w:cs="宋体"/>
              <w:sz w:val="28"/>
              <w:szCs w:val="28"/>
              <w:lang w:eastAsia="zh-CN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  <w:lang w:eastAsia="zh-CN"/>
            </w:rPr>
            <w:t>二、初次申请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_Toc20308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9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  <w:lang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  <w:lang w:eastAsia="zh-CN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  <w:lang w:eastAsia="zh-CN"/>
            </w:rPr>
            <w:instrText xml:space="preserve"> HYPERLINK \l _Toc16451 </w:instrText>
          </w:r>
          <w:r>
            <w:rPr>
              <w:rFonts w:hint="eastAsia" w:ascii="宋体" w:hAnsi="宋体" w:eastAsia="宋体" w:cs="宋体"/>
              <w:sz w:val="28"/>
              <w:szCs w:val="28"/>
              <w:lang w:eastAsia="zh-CN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  <w:lang w:eastAsia="zh-CN"/>
            </w:rPr>
            <w:t>二、 续期换证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_Toc16451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10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  <w:lang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  <w:lang w:eastAsia="zh-CN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  <w:lang w:eastAsia="zh-CN"/>
            </w:rPr>
            <w:instrText xml:space="preserve"> HYPERLINK \l _Toc4531 </w:instrText>
          </w:r>
          <w:r>
            <w:rPr>
              <w:rFonts w:hint="eastAsia" w:ascii="宋体" w:hAnsi="宋体" w:eastAsia="宋体" w:cs="宋体"/>
              <w:sz w:val="28"/>
              <w:szCs w:val="28"/>
              <w:lang w:eastAsia="zh-CN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  <w:lang w:eastAsia="zh-CN"/>
            </w:rPr>
            <w:t>三、 年度自评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_Toc4531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11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  <w:lang w:eastAsia="zh-CN"/>
            </w:rPr>
            <w:fldChar w:fldCharType="end"/>
          </w:r>
        </w:p>
        <w:p>
          <w:pPr>
            <w:rPr>
              <w:rFonts w:hint="eastAsia"/>
              <w:lang w:eastAsia="zh-CN"/>
            </w:rPr>
          </w:pPr>
          <w:r>
            <w:rPr>
              <w:rFonts w:hint="eastAsia" w:ascii="宋体" w:hAnsi="宋体" w:eastAsia="宋体" w:cs="宋体"/>
              <w:sz w:val="28"/>
              <w:szCs w:val="28"/>
              <w:lang w:eastAsia="zh-CN"/>
            </w:rPr>
            <w:fldChar w:fldCharType="end"/>
          </w:r>
        </w:p>
      </w:sdtContent>
    </w:sdt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2"/>
        <w:numPr>
          <w:ilvl w:val="0"/>
          <w:numId w:val="1"/>
        </w:numPr>
        <w:bidi w:val="0"/>
        <w:rPr>
          <w:rFonts w:hint="eastAsia"/>
          <w:lang w:eastAsia="zh-CN"/>
        </w:rPr>
      </w:pPr>
      <w:bookmarkStart w:id="0" w:name="_Toc21129"/>
      <w:r>
        <w:rPr>
          <w:rFonts w:hint="eastAsia"/>
          <w:lang w:eastAsia="zh-CN"/>
        </w:rPr>
        <w:t>注册</w:t>
      </w:r>
      <w:bookmarkEnd w:id="0"/>
    </w:p>
    <w:p>
      <w:pPr>
        <w:ind w:left="0" w:leftChars="0" w:firstLine="560" w:firstLineChars="200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输入网址 </w:t>
      </w:r>
      <w:r>
        <w:rPr>
          <w:rFonts w:hint="eastAsia"/>
          <w:color w:val="auto"/>
          <w:sz w:val="28"/>
          <w:szCs w:val="28"/>
          <w:lang w:eastAsia="zh-CN"/>
        </w:rPr>
        <w:fldChar w:fldCharType="begin"/>
      </w:r>
      <w:r>
        <w:rPr>
          <w:rFonts w:hint="eastAsia"/>
          <w:color w:val="auto"/>
          <w:sz w:val="28"/>
          <w:szCs w:val="28"/>
          <w:lang w:eastAsia="zh-CN"/>
        </w:rPr>
        <w:instrText xml:space="preserve"> HYPERLINK "http://ncsdab.com:8889/SPS/" </w:instrText>
      </w:r>
      <w:r>
        <w:rPr>
          <w:rFonts w:hint="eastAsia"/>
          <w:color w:val="auto"/>
          <w:sz w:val="28"/>
          <w:szCs w:val="28"/>
          <w:lang w:eastAsia="zh-CN"/>
        </w:rPr>
        <w:fldChar w:fldCharType="separate"/>
      </w:r>
      <w:r>
        <w:rPr>
          <w:rFonts w:hint="eastAsia"/>
          <w:color w:val="auto"/>
          <w:sz w:val="28"/>
          <w:szCs w:val="28"/>
          <w:lang w:eastAsia="zh-CN"/>
        </w:rPr>
        <w:t>http://</w:t>
      </w:r>
      <w:r>
        <w:rPr>
          <w:rFonts w:hint="eastAsia"/>
          <w:color w:val="auto"/>
          <w:sz w:val="28"/>
          <w:szCs w:val="28"/>
          <w:lang w:val="en-US" w:eastAsia="zh-CN"/>
        </w:rPr>
        <w:t>www.</w:t>
      </w:r>
      <w:r>
        <w:rPr>
          <w:rFonts w:hint="eastAsia"/>
          <w:color w:val="auto"/>
          <w:sz w:val="28"/>
          <w:szCs w:val="28"/>
          <w:lang w:eastAsia="zh-CN"/>
        </w:rPr>
        <w:t>ncsd</w:t>
      </w:r>
      <w:r>
        <w:rPr>
          <w:rFonts w:hint="eastAsia"/>
          <w:color w:val="auto"/>
          <w:sz w:val="28"/>
          <w:szCs w:val="28"/>
          <w:lang w:val="en-US" w:eastAsia="zh-CN"/>
        </w:rPr>
        <w:t>a</w:t>
      </w:r>
      <w:r>
        <w:rPr>
          <w:rFonts w:hint="eastAsia"/>
          <w:color w:val="auto"/>
          <w:sz w:val="28"/>
          <w:szCs w:val="28"/>
          <w:lang w:eastAsia="zh-CN"/>
        </w:rPr>
        <w:t>b.c</w:t>
      </w:r>
      <w:r>
        <w:rPr>
          <w:rFonts w:hint="eastAsia"/>
          <w:color w:val="auto"/>
          <w:sz w:val="28"/>
          <w:szCs w:val="28"/>
          <w:lang w:val="en-US" w:eastAsia="zh-CN"/>
        </w:rPr>
        <w:t>n</w:t>
      </w:r>
      <w:r>
        <w:rPr>
          <w:rFonts w:hint="eastAsia"/>
          <w:color w:val="auto"/>
          <w:sz w:val="28"/>
          <w:szCs w:val="28"/>
          <w:lang w:eastAsia="zh-CN"/>
        </w:rPr>
        <w:fldChar w:fldCharType="end"/>
      </w:r>
      <w:r>
        <w:rPr>
          <w:rFonts w:hint="eastAsia"/>
          <w:color w:val="auto"/>
          <w:sz w:val="28"/>
          <w:szCs w:val="28"/>
          <w:lang w:val="en-US" w:eastAsia="zh-CN"/>
        </w:rPr>
        <w:t xml:space="preserve"> </w:t>
      </w:r>
      <w:r>
        <w:rPr>
          <w:rFonts w:hint="eastAsia"/>
          <w:sz w:val="28"/>
          <w:szCs w:val="28"/>
          <w:lang w:val="en-US" w:eastAsia="zh-CN"/>
        </w:rPr>
        <w:t>进入</w:t>
      </w:r>
      <w:r>
        <w:rPr>
          <w:rFonts w:hint="eastAsia"/>
          <w:sz w:val="28"/>
          <w:szCs w:val="28"/>
          <w:lang w:eastAsia="zh-CN"/>
        </w:rPr>
        <w:t>农村水电站安全生产标准化评审管理系统，然后点击右上方“电站用户登录”按钮，进入到登录界面。如下图：</w:t>
      </w:r>
    </w:p>
    <w:p>
      <w:pPr>
        <w:ind w:firstLine="0" w:firstLineChars="0"/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039360" cy="2738755"/>
            <wp:effectExtent l="0" t="0" r="8890" b="4445"/>
            <wp:docPr id="1" name="图片 1" descr="157535937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75359370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060950" cy="2927350"/>
            <wp:effectExtent l="0" t="0" r="6350" b="635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6095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在用户登录页点击红色字体“</w:t>
      </w:r>
      <w:r>
        <w:rPr>
          <w:rFonts w:hint="eastAsia"/>
          <w:color w:val="auto"/>
          <w:sz w:val="28"/>
          <w:szCs w:val="28"/>
          <w:lang w:val="en-US" w:eastAsia="zh-CN"/>
        </w:rPr>
        <w:t>没有账号？立即注册</w:t>
      </w:r>
      <w:r>
        <w:rPr>
          <w:rFonts w:hint="eastAsia"/>
          <w:sz w:val="28"/>
          <w:szCs w:val="28"/>
          <w:lang w:val="en-US" w:eastAsia="zh-CN"/>
        </w:rPr>
        <w:t>”，跳转到下图页面：</w:t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4936490" cy="2464435"/>
            <wp:effectExtent l="0" t="0" r="16510" b="12065"/>
            <wp:docPr id="3" name="图片 3" descr="157536974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75369746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36490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如果该电站已经注册申报过绿色水电，可以点击“已有《绿色水电管理信息系统》账号”进行快速注册，方法如下：</w:t>
      </w:r>
    </w:p>
    <w:p>
      <w:pPr>
        <w:ind w:left="0" w:leftChars="0"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1）点击“已有《绿色水电管理信息系统》账号”按钮跳转至搜索页面，如下图：</w:t>
      </w:r>
    </w:p>
    <w:p>
      <w:pPr>
        <w:ind w:left="0" w:leftChars="0" w:firstLine="0" w:firstLineChars="0"/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4857750" cy="4464050"/>
            <wp:effectExtent l="0" t="0" r="0" b="12700"/>
            <wp:docPr id="13" name="图片 1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446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在搜索框中输入</w:t>
      </w:r>
      <w:r>
        <w:rPr>
          <w:rFonts w:hint="eastAsia"/>
          <w:b/>
          <w:bCs/>
          <w:sz w:val="28"/>
          <w:szCs w:val="28"/>
          <w:lang w:val="en-US" w:eastAsia="zh-CN"/>
        </w:rPr>
        <w:t>电站名称</w:t>
      </w:r>
      <w:r>
        <w:rPr>
          <w:rFonts w:hint="eastAsia"/>
          <w:sz w:val="28"/>
          <w:szCs w:val="28"/>
          <w:lang w:val="en-US" w:eastAsia="zh-CN"/>
        </w:rPr>
        <w:t>或者</w:t>
      </w:r>
      <w:r>
        <w:rPr>
          <w:rFonts w:hint="eastAsia"/>
          <w:b/>
          <w:bCs/>
          <w:sz w:val="28"/>
          <w:szCs w:val="28"/>
          <w:lang w:val="en-US" w:eastAsia="zh-CN"/>
        </w:rPr>
        <w:t>法定代表人</w:t>
      </w:r>
      <w:r>
        <w:rPr>
          <w:rFonts w:hint="eastAsia"/>
          <w:sz w:val="28"/>
          <w:szCs w:val="28"/>
          <w:lang w:val="en-US" w:eastAsia="zh-CN"/>
        </w:rPr>
        <w:t>或者</w:t>
      </w:r>
      <w:r>
        <w:rPr>
          <w:rFonts w:hint="eastAsia"/>
          <w:b/>
          <w:bCs/>
          <w:sz w:val="28"/>
          <w:szCs w:val="28"/>
          <w:lang w:val="en-US" w:eastAsia="zh-CN"/>
        </w:rPr>
        <w:t>联系人</w:t>
      </w:r>
      <w:r>
        <w:rPr>
          <w:rFonts w:hint="eastAsia"/>
          <w:sz w:val="28"/>
          <w:szCs w:val="28"/>
          <w:lang w:val="en-US" w:eastAsia="zh-CN"/>
        </w:rPr>
        <w:t>及</w:t>
      </w:r>
      <w:r>
        <w:rPr>
          <w:rFonts w:hint="eastAsia"/>
          <w:b/>
          <w:bCs/>
          <w:sz w:val="28"/>
          <w:szCs w:val="28"/>
          <w:lang w:val="en-US" w:eastAsia="zh-CN"/>
        </w:rPr>
        <w:t>联系电话</w:t>
      </w:r>
      <w:r>
        <w:rPr>
          <w:rFonts w:hint="eastAsia"/>
          <w:sz w:val="28"/>
          <w:szCs w:val="28"/>
          <w:lang w:val="en-US" w:eastAsia="zh-CN"/>
        </w:rPr>
        <w:t>，再点击“查询”按钮搜索，找到所在电站信息后，点击“选择”按钮，跳转至注册页面，如下图：</w:t>
      </w:r>
    </w:p>
    <w:p>
      <w:pPr>
        <w:numPr>
          <w:ilvl w:val="0"/>
          <w:numId w:val="0"/>
        </w:numPr>
        <w:ind w:left="0" w:leftChars="0"/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4801870" cy="4671060"/>
            <wp:effectExtent l="0" t="0" r="17780" b="15240"/>
            <wp:docPr id="14" name="图片 14" descr="157621854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576218548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01870" cy="467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0" w:leftChars="0"/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="0" w:leftChars="0"/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="0" w:leftChars="0"/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="0" w:leftChars="0"/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="0" w:leftChars="0"/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="0" w:leftChars="0"/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="0" w:leftChars="0"/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="0" w:leftChars="0"/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="0" w:leftChars="0"/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在注册页面核对、完善信息后，点击提交即可注册成功。</w:t>
      </w:r>
      <w:r>
        <w:rPr>
          <w:rFonts w:hint="eastAsia"/>
          <w:b/>
          <w:bCs/>
          <w:sz w:val="28"/>
          <w:szCs w:val="28"/>
          <w:lang w:val="en-US" w:eastAsia="zh-CN"/>
        </w:rPr>
        <w:t>联系人电话即为登录账号</w:t>
      </w:r>
      <w:r>
        <w:rPr>
          <w:rFonts w:hint="eastAsia"/>
          <w:sz w:val="28"/>
          <w:szCs w:val="28"/>
          <w:lang w:val="en-US" w:eastAsia="zh-CN"/>
        </w:rPr>
        <w:t>。如下图：</w:t>
      </w:r>
    </w:p>
    <w:p>
      <w:pPr>
        <w:numPr>
          <w:ilvl w:val="0"/>
          <w:numId w:val="0"/>
        </w:numPr>
        <w:ind w:left="0" w:leftChars="0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9230" cy="4813300"/>
            <wp:effectExtent l="0" t="0" r="7620" b="635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81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840" w:leftChars="0"/>
        <w:rPr>
          <w:rFonts w:hint="default"/>
          <w:sz w:val="28"/>
          <w:szCs w:val="28"/>
          <w:lang w:val="en-US" w:eastAsia="zh-CN"/>
        </w:rPr>
      </w:pPr>
    </w:p>
    <w:p>
      <w:pPr>
        <w:ind w:left="0" w:leftChars="0" w:firstLine="560" w:firstLineChars="200"/>
        <w:rPr>
          <w:rFonts w:hint="eastAsia"/>
          <w:color w:val="auto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如果电站没有注册绿色水电账号，点击“注册账号”按钮，跳转至注册页面，如下图。完善注册信息后，点击“提交”按钮，即可注册成功，</w:t>
      </w:r>
      <w:r>
        <w:rPr>
          <w:rFonts w:hint="eastAsia"/>
          <w:color w:val="FF0000"/>
          <w:sz w:val="28"/>
          <w:szCs w:val="28"/>
          <w:lang w:val="en-US" w:eastAsia="zh-CN"/>
        </w:rPr>
        <w:t>联系电话即登录账号</w:t>
      </w:r>
      <w:r>
        <w:rPr>
          <w:rFonts w:hint="eastAsia"/>
          <w:sz w:val="28"/>
          <w:szCs w:val="28"/>
          <w:lang w:val="en-US" w:eastAsia="zh-CN"/>
        </w:rPr>
        <w:t>。</w:t>
      </w:r>
    </w:p>
    <w:p>
      <w:pPr>
        <w:ind w:firstLine="560" w:firstLineChars="200"/>
        <w:jc w:val="left"/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drawing>
          <wp:inline distT="0" distB="0" distL="114300" distR="114300">
            <wp:extent cx="5271135" cy="6607810"/>
            <wp:effectExtent l="0" t="0" r="5715" b="2540"/>
            <wp:docPr id="2" name="图片 2" descr="161007464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10074640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60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部分字段填写说明：</w:t>
      </w:r>
    </w:p>
    <w:p>
      <w:pPr>
        <w:numPr>
          <w:ilvl w:val="0"/>
          <w:numId w:val="3"/>
        </w:numPr>
        <w:ind w:firstLine="560" w:firstLineChars="200"/>
        <w:jc w:val="left"/>
        <w:rPr>
          <w:rFonts w:hint="default" w:ascii="宋体" w:hAnsi="宋体" w:eastAsia="宋体" w:cs="宋体"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电站名称：以营业执照为准；如果营业执照所述单位下有多个电站时，填写方式如：xxx电力有限公司（xx水电站）。</w:t>
      </w:r>
    </w:p>
    <w:p>
      <w:pPr>
        <w:numPr>
          <w:ilvl w:val="0"/>
          <w:numId w:val="4"/>
        </w:numPr>
        <w:ind w:firstLine="560" w:firstLineChars="200"/>
        <w:jc w:val="left"/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电站代码；统计年报所使用的代码，如果电站查不到可以联系省水利厅查询或者拨打系统管理电话 0571-85023418。</w:t>
      </w:r>
    </w:p>
    <w:p>
      <w:pPr>
        <w:widowControl w:val="0"/>
        <w:numPr>
          <w:ilvl w:val="0"/>
          <w:numId w:val="0"/>
        </w:numPr>
        <w:ind w:firstLine="420" w:firstLineChars="0"/>
        <w:jc w:val="both"/>
        <w:rPr>
          <w:rFonts w:hint="eastAsia"/>
          <w:lang w:eastAsia="zh-CN"/>
        </w:rPr>
      </w:pP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3、申报类型：类型包括初次申请、续期换证、年度自评（本次申报的类型），选择初次申请、下方连续的两个字段为申报等级、申报年份，按需填写即可；如果选择续期换证或年度自评，下方两个字段为评审等级和评审年份，为实际初次评审一级的年份。</w:t>
      </w:r>
    </w:p>
    <w:p>
      <w:pPr>
        <w:pStyle w:val="2"/>
        <w:bidi w:val="0"/>
        <w:rPr>
          <w:rFonts w:hint="eastAsia"/>
          <w:lang w:eastAsia="zh-CN"/>
        </w:rPr>
      </w:pPr>
      <w:bookmarkStart w:id="1" w:name="_Toc20308"/>
      <w:r>
        <w:rPr>
          <w:rFonts w:hint="eastAsia"/>
          <w:lang w:eastAsia="zh-CN"/>
        </w:rPr>
        <w:t>二、初次申请</w:t>
      </w:r>
      <w:bookmarkEnd w:id="1"/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0500" cy="3977005"/>
            <wp:effectExtent l="0" t="0" r="6350" b="4445"/>
            <wp:docPr id="5" name="图片 5" descr="161008761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10087615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7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如上图所示：逐项进行填写申报表、基本情况、自评打分、条件自查、管理体系评分、评审支撑材料、现场照片、提交申报。</w:t>
      </w:r>
    </w:p>
    <w:p>
      <w:pPr>
        <w:rPr>
          <w:rFonts w:hint="eastAsia"/>
          <w:lang w:eastAsia="zh-CN"/>
        </w:rPr>
      </w:pPr>
    </w:p>
    <w:p>
      <w:pPr>
        <w:pStyle w:val="2"/>
        <w:numPr>
          <w:ilvl w:val="0"/>
          <w:numId w:val="1"/>
        </w:numPr>
        <w:bidi w:val="0"/>
        <w:ind w:left="0" w:leftChars="0" w:firstLine="0" w:firstLineChars="0"/>
        <w:rPr>
          <w:rFonts w:hint="eastAsia"/>
          <w:lang w:eastAsia="zh-CN"/>
        </w:rPr>
      </w:pPr>
      <w:bookmarkStart w:id="2" w:name="_Toc16451"/>
      <w:r>
        <w:rPr>
          <w:rFonts w:hint="eastAsia"/>
          <w:lang w:eastAsia="zh-CN"/>
        </w:rPr>
        <w:t>续期换证</w:t>
      </w:r>
      <w:bookmarkEnd w:id="2"/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70500" cy="3588385"/>
            <wp:effectExtent l="0" t="0" r="6350" b="1206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8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如上图所示：点击“添加”按钮，选择进行续期换证的年份，保存生成续期换证申请记录。</w:t>
      </w:r>
    </w:p>
    <w:p>
      <w:pPr>
        <w:ind w:left="0" w:leftChars="0"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点击申报材料，进入资料上传页面，如下图：</w:t>
      </w:r>
    </w:p>
    <w:p>
      <w:pPr>
        <w:ind w:left="0" w:leftChars="0"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72405" cy="2051685"/>
            <wp:effectExtent l="0" t="0" r="4445" b="5715"/>
            <wp:docPr id="8" name="图片 8" descr="161009019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10090199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点击每项资料的上传按钮，进行上传，上传后即可查看、删除；如需更换材料，先删除，再次上传。</w:t>
      </w:r>
    </w:p>
    <w:p>
      <w:pPr>
        <w:ind w:left="0" w:leftChars="0"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资料上传无误后在第六项点击提交按钮，资料显示行中删除按钮消失，代码已提交。审核记录中可以查看申请操作及上级审核记录。审核意见：上级提出的资料修正、改进信息。</w:t>
      </w:r>
    </w:p>
    <w:p>
      <w:pPr>
        <w:pStyle w:val="2"/>
        <w:numPr>
          <w:ilvl w:val="0"/>
          <w:numId w:val="1"/>
        </w:numPr>
        <w:bidi w:val="0"/>
        <w:ind w:left="0" w:leftChars="0" w:firstLine="0" w:firstLineChars="0"/>
        <w:rPr>
          <w:rFonts w:hint="eastAsia"/>
          <w:lang w:eastAsia="zh-CN"/>
        </w:rPr>
      </w:pPr>
      <w:bookmarkStart w:id="3" w:name="_Toc4531"/>
      <w:r>
        <w:rPr>
          <w:rFonts w:hint="eastAsia"/>
          <w:lang w:eastAsia="zh-CN"/>
        </w:rPr>
        <w:t>年度自评</w:t>
      </w:r>
      <w:bookmarkEnd w:id="3"/>
    </w:p>
    <w:p>
      <w:r>
        <w:drawing>
          <wp:inline distT="0" distB="0" distL="114300" distR="114300">
            <wp:extent cx="5269230" cy="3942715"/>
            <wp:effectExtent l="0" t="0" r="7620" b="63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4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如上图所示：点击“添加”按钮，选择进行年度自评的年份，保存生成年度自评申请记录。</w:t>
      </w:r>
    </w:p>
    <w:p>
      <w:pPr>
        <w:ind w:left="0" w:leftChars="0" w:firstLine="560" w:firstLineChars="200"/>
        <w:rPr>
          <w:rFonts w:hint="eastAsia"/>
          <w:sz w:val="28"/>
          <w:szCs w:val="28"/>
          <w:lang w:val="en-US" w:eastAsia="zh-CN"/>
        </w:rPr>
      </w:pPr>
    </w:p>
    <w:p>
      <w:pPr>
        <w:ind w:left="0" w:leftChars="0" w:firstLine="560" w:firstLineChars="200"/>
        <w:rPr>
          <w:rFonts w:hint="eastAsia"/>
          <w:sz w:val="28"/>
          <w:szCs w:val="28"/>
          <w:lang w:val="en-US" w:eastAsia="zh-CN"/>
        </w:rPr>
      </w:pPr>
    </w:p>
    <w:p>
      <w:pPr>
        <w:ind w:left="0" w:leftChars="0" w:firstLine="560" w:firstLineChars="200"/>
        <w:rPr>
          <w:rFonts w:hint="eastAsia"/>
          <w:sz w:val="28"/>
          <w:szCs w:val="28"/>
          <w:lang w:val="en-US" w:eastAsia="zh-CN"/>
        </w:rPr>
      </w:pPr>
    </w:p>
    <w:p>
      <w:pPr>
        <w:ind w:left="0" w:leftChars="0" w:firstLine="560" w:firstLineChars="200"/>
        <w:rPr>
          <w:rFonts w:hint="eastAsia"/>
          <w:sz w:val="28"/>
          <w:szCs w:val="28"/>
          <w:lang w:val="en-US" w:eastAsia="zh-CN"/>
        </w:rPr>
      </w:pPr>
    </w:p>
    <w:p>
      <w:pPr>
        <w:ind w:left="0" w:leftChars="0" w:firstLine="560" w:firstLineChars="200"/>
        <w:rPr>
          <w:rFonts w:hint="eastAsia"/>
          <w:sz w:val="28"/>
          <w:szCs w:val="28"/>
          <w:lang w:val="en-US" w:eastAsia="zh-CN"/>
        </w:rPr>
      </w:pPr>
    </w:p>
    <w:p>
      <w:pPr>
        <w:ind w:left="0" w:leftChars="0"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点击自评打分，根据打分表内容逐项进行打分，如下图所示：</w:t>
      </w:r>
    </w:p>
    <w:p>
      <w:pPr>
        <w:ind w:left="0" w:leftChars="0" w:firstLine="420" w:firstLineChars="200"/>
      </w:pPr>
      <w:r>
        <w:drawing>
          <wp:inline distT="0" distB="0" distL="114300" distR="114300">
            <wp:extent cx="5266055" cy="4150995"/>
            <wp:effectExtent l="0" t="0" r="10795" b="190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415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  <w:rPr>
          <w:rFonts w:hint="eastAsia" w:eastAsiaTheme="minorEastAsia"/>
          <w:lang w:val="en-US" w:eastAsia="zh-CN"/>
        </w:rPr>
      </w:pPr>
    </w:p>
    <w:p>
      <w:pPr>
        <w:ind w:left="0" w:leftChars="0"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打分完毕后，重新点击年度资料菜单，回到年度自评列表页面。点击资料上传，进入资料上传页面，如下图：</w:t>
      </w:r>
    </w:p>
    <w:p>
      <w:pPr>
        <w:ind w:left="0" w:leftChars="0"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67325" cy="1276350"/>
            <wp:effectExtent l="0" t="0" r="9525" b="0"/>
            <wp:docPr id="17" name="图片 17" descr="161009127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10091277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下载自评报告模板，根据电站情况按照模板格式填写自评报告，自评打分内容从打分表中获取。</w:t>
      </w:r>
    </w:p>
    <w:p>
      <w:pPr>
        <w:ind w:left="0" w:leftChars="0"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资料上传无误后点击提交按钮，资料显示行中删除按钮消失，代码已提交。审核记录中可以查看申请操作及上级审核记录。审核意见：上级提出的资料修正、改进信息。</w:t>
      </w:r>
    </w:p>
    <w:p>
      <w:pPr>
        <w:rPr>
          <w:rFonts w:hint="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A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FB8515F"/>
    <w:multiLevelType w:val="singleLevel"/>
    <w:tmpl w:val="9FB8515F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C33F688F"/>
    <w:multiLevelType w:val="singleLevel"/>
    <w:tmpl w:val="C33F688F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C54789B2"/>
    <w:multiLevelType w:val="multilevel"/>
    <w:tmpl w:val="C54789B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rPr>
        <w:rFonts w:hint="eastAsia"/>
      </w:rPr>
    </w:lvl>
    <w:lvl w:ilvl="3" w:tentative="0">
      <w:start w:val="1"/>
      <w:numFmt w:val="decimalEnclosedCircleChinese"/>
      <w:suff w:val="nothing"/>
      <w:lvlText w:val="%4"/>
      <w:lvlJc w:val="left"/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rPr>
        <w:rFonts w:hint="eastAsia"/>
      </w:rPr>
    </w:lvl>
    <w:lvl w:ilvl="7" w:tentative="0">
      <w:start w:val="1"/>
      <w:numFmt w:val="lowerRoman"/>
      <w:suff w:val="nothing"/>
      <w:lvlText w:val="%8．"/>
      <w:lvlJc w:val="left"/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rPr>
        <w:rFonts w:hint="eastAsia"/>
      </w:rPr>
    </w:lvl>
  </w:abstractNum>
  <w:abstractNum w:abstractNumId="3">
    <w:nsid w:val="C920818A"/>
    <w:multiLevelType w:val="singleLevel"/>
    <w:tmpl w:val="C920818A"/>
    <w:lvl w:ilvl="0" w:tentative="0">
      <w:start w:val="2"/>
      <w:numFmt w:val="decimal"/>
      <w:suff w:val="nothing"/>
      <w:lvlText w:val="%1）"/>
      <w:lvlJc w:val="left"/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C8A6A4A"/>
    <w:rsid w:val="001467CE"/>
    <w:rsid w:val="0131024E"/>
    <w:rsid w:val="01526851"/>
    <w:rsid w:val="04650E53"/>
    <w:rsid w:val="07BF632A"/>
    <w:rsid w:val="07D72853"/>
    <w:rsid w:val="0AFC7A59"/>
    <w:rsid w:val="0C611D5D"/>
    <w:rsid w:val="0C8A6A4A"/>
    <w:rsid w:val="1A220C4F"/>
    <w:rsid w:val="2D4C65D5"/>
    <w:rsid w:val="315038C5"/>
    <w:rsid w:val="32AC0243"/>
    <w:rsid w:val="38497A9E"/>
    <w:rsid w:val="39417ED3"/>
    <w:rsid w:val="41953BCD"/>
    <w:rsid w:val="48F00124"/>
    <w:rsid w:val="4EE27724"/>
    <w:rsid w:val="51AA2C8F"/>
    <w:rsid w:val="65583658"/>
    <w:rsid w:val="66E70FF4"/>
    <w:rsid w:val="67226DF0"/>
    <w:rsid w:val="6CA12234"/>
    <w:rsid w:val="6FCC4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WPSOffice手动目录 1"/>
    <w:uiPriority w:val="0"/>
    <w:pPr>
      <w:ind w:leftChars="0"/>
    </w:pPr>
    <w:rPr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2021-01-08T02:11:00Z</dcterms:created>
  <dc:creator>无限</dc:creator>
  <cp:lastModifiedBy>无限</cp:lastModifiedBy>
  <dcterms:modified xsi:type="dcterms:W3CDTF">2021-01-08T07:36:30Z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